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50AFA" w:rsidR="00FA5561" w:rsidP="00FA5561" w:rsidRDefault="00FA5561" w14:paraId="79BBB841" w14:textId="77777777">
      <w:pPr>
        <w:spacing w:after="0" w:line="276" w:lineRule="auto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ascii="Aptos Serif" w:hAnsi="Aptos Serif" w:cs="Aptos Serif"/>
          <w:b/>
          <w:bCs/>
          <w:sz w:val="23"/>
          <w:szCs w:val="23"/>
        </w:rPr>
        <w:t>Notice to Contributors</w:t>
      </w:r>
    </w:p>
    <w:p w:rsidRPr="00C50AFA" w:rsidR="00FA5561" w:rsidP="00FA5561" w:rsidRDefault="00FA5561" w14:paraId="31988795" w14:textId="77777777">
      <w:pPr>
        <w:adjustRightInd w:val="0"/>
        <w:snapToGrid w:val="0"/>
        <w:spacing w:before="120" w:after="120" w:line="276" w:lineRule="auto"/>
        <w:rPr>
          <w:rFonts w:ascii="Aptos Serif" w:hAnsi="Aptos Serif" w:cs="Aptos Serif"/>
          <w:sz w:val="23"/>
          <w:szCs w:val="23"/>
        </w:rPr>
      </w:pPr>
    </w:p>
    <w:p w:rsidRPr="0052425D" w:rsidR="00FA5561" w:rsidP="00FA5561" w:rsidRDefault="00FA5561" w14:paraId="43961D3F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i/>
          <w:iCs/>
          <w:sz w:val="23"/>
          <w:szCs w:val="23"/>
        </w:rPr>
        <w:t>Journal of Translation Studies (JTS)</w:t>
      </w:r>
      <w:r w:rsidRPr="0052425D">
        <w:rPr>
          <w:rFonts w:ascii="Aptos Serif" w:hAnsi="Aptos Serif" w:cs="Aptos Serif"/>
          <w:sz w:val="23"/>
          <w:szCs w:val="23"/>
        </w:rPr>
        <w:t>, a biannual joint publication of the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Department of Translation, The Chinese University of Hong Kong and The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Chinese University of Hong Kong Press, welcomes articles and book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reviews in all areas of translation studies.</w:t>
      </w:r>
    </w:p>
    <w:p w:rsidRPr="0052425D" w:rsidR="00FA5561" w:rsidP="00FA5561" w:rsidRDefault="00FA5561" w14:paraId="70ECC39D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The journal welcomes guest editing of special issues. A proposal, including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an abstract of planned contributions and descriptions of the sources (e.g.,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conference proceedings), should be submitted.</w:t>
      </w:r>
    </w:p>
    <w:p w:rsidRPr="0052425D" w:rsidR="00FA5561" w:rsidP="00FA5561" w:rsidRDefault="00FA5561" w14:paraId="4619540C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The journal carries articles in either Chinese or English. Authors take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responsibility for their views.</w:t>
      </w:r>
    </w:p>
    <w:p w:rsidRPr="0052425D" w:rsidR="00FA5561" w:rsidP="00FA5561" w:rsidRDefault="00FA5561" w14:paraId="54BA2D7F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Contributors should read and understand the ethics statements before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submitting their manuscript.</w:t>
      </w:r>
    </w:p>
    <w:p w:rsidRPr="0052425D" w:rsidR="00FA5561" w:rsidP="00FA5561" w:rsidRDefault="00FA5561" w14:paraId="05703283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Manuscripts in Chinese should not exceed 20,000 characters; manuscripts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in English should not exceed 15,000 words. All manuscripts should be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word-processed. For the main text, use Times New Roman for English and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PMingLiU for Chinese. The font size should be no smaller than 12 point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size.</w:t>
      </w:r>
    </w:p>
    <w:p w:rsidRPr="0052425D" w:rsidR="00FA5561" w:rsidP="00FA5561" w:rsidRDefault="00FA5561" w14:paraId="3C4E891B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Please double-space the entire manuscript, including endnotes and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references.</w:t>
      </w:r>
    </w:p>
    <w:p w:rsidRPr="0052425D" w:rsidR="00FA5561" w:rsidP="00FA5561" w:rsidRDefault="00FA5561" w14:paraId="7ED04B91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The editors reserve the right to modify the manuscript where deemed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necessary.</w:t>
      </w:r>
    </w:p>
    <w:p w:rsidRPr="0052425D" w:rsidR="00FA5561" w:rsidP="00FA5561" w:rsidRDefault="00FA5561" w14:paraId="17EFFA1B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 xml:space="preserve">Three free copies of the relevant issue of </w:t>
      </w:r>
      <w:r w:rsidRPr="0052425D">
        <w:rPr>
          <w:rFonts w:ascii="Aptos Serif" w:hAnsi="Aptos Serif" w:cs="Aptos Serif"/>
          <w:i/>
          <w:iCs/>
          <w:sz w:val="23"/>
          <w:szCs w:val="23"/>
        </w:rPr>
        <w:t xml:space="preserve">JTS </w:t>
      </w:r>
      <w:r w:rsidRPr="0052425D">
        <w:rPr>
          <w:rFonts w:ascii="Aptos Serif" w:hAnsi="Aptos Serif" w:cs="Aptos Serif"/>
          <w:sz w:val="23"/>
          <w:szCs w:val="23"/>
        </w:rPr>
        <w:t>will be sent to the author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when his/her article is published.</w:t>
      </w:r>
    </w:p>
    <w:p w:rsidRPr="0052425D" w:rsidR="00FA5561" w:rsidP="00FA5561" w:rsidRDefault="00FA5561" w14:paraId="6B72D8F2" w14:textId="77777777">
      <w:pPr>
        <w:pStyle w:val="ListParagraph"/>
        <w:numPr>
          <w:ilvl w:val="0"/>
          <w:numId w:val="1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Contributions should be consistent in their use of language and spelling. If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you are not a native speaker of the language in which you have written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your contribution, it is advised to have your text checked by a native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speaker.</w:t>
      </w:r>
    </w:p>
    <w:p w:rsidRPr="0052425D" w:rsidR="00FA5561" w:rsidP="00FA5561" w:rsidRDefault="00FA5561" w14:paraId="2FF9A989" w14:textId="77777777">
      <w:pPr>
        <w:adjustRightInd w:val="0"/>
        <w:snapToGrid w:val="0"/>
        <w:spacing w:before="120" w:line="276" w:lineRule="auto"/>
        <w:rPr>
          <w:rFonts w:ascii="Aptos Serif" w:hAnsi="Aptos Serif" w:cs="Aptos Serif"/>
          <w:sz w:val="23"/>
          <w:szCs w:val="23"/>
        </w:rPr>
      </w:pPr>
    </w:p>
    <w:p w:rsidRPr="00C50AFA" w:rsidR="00FA5561" w:rsidP="00FA5561" w:rsidRDefault="00FA5561" w14:paraId="17E9BCB9" w14:textId="77777777">
      <w:pPr>
        <w:adjustRightInd w:val="0"/>
        <w:snapToGrid w:val="0"/>
        <w:spacing w:before="120" w:line="276" w:lineRule="auto"/>
        <w:rPr>
          <w:rFonts w:ascii="Aptos Serif" w:hAnsi="Aptos Serif" w:cs="Aptos Serif"/>
          <w:b/>
          <w:bCs/>
          <w:sz w:val="23"/>
          <w:szCs w:val="23"/>
        </w:rPr>
      </w:pPr>
      <w:r w:rsidRPr="00C50AFA">
        <w:rPr>
          <w:rFonts w:ascii="Aptos Serif" w:hAnsi="Aptos Serif" w:cs="Aptos Serif"/>
          <w:b/>
          <w:bCs/>
          <w:sz w:val="23"/>
          <w:szCs w:val="23"/>
        </w:rPr>
        <w:t>Stylesheet for manuscripts that have been accepted for publication</w:t>
      </w:r>
    </w:p>
    <w:p w:rsidRPr="0052425D" w:rsidR="00FA5561" w:rsidP="00FA5561" w:rsidRDefault="00FA5561" w14:paraId="7CF9B169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When submitting the final manuscript to the journal, please include: a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one-paragraph abstract in English, approximately five keywords, a short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professional biography of the author, and a current mailing address.</w:t>
      </w:r>
    </w:p>
    <w:p w:rsidRPr="0052425D" w:rsidR="00FA5561" w:rsidP="00FA5561" w:rsidRDefault="00FA5561" w14:paraId="12180FCB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52425D">
        <w:rPr>
          <w:rFonts w:ascii="Aptos Serif" w:hAnsi="Aptos Serif" w:cs="Aptos Serif"/>
          <w:sz w:val="23"/>
          <w:szCs w:val="23"/>
        </w:rPr>
        <w:t>Tables and figures: All tables, trees and figures must fit within the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following page size (if necessary, after limited reduction) and should still</w:t>
      </w:r>
      <w:r w:rsidRPr="0052425D">
        <w:rPr>
          <w:rFonts w:hint="eastAsia" w:ascii="Aptos Serif" w:hAnsi="Aptos Serif" w:cs="Aptos Serif"/>
          <w:sz w:val="23"/>
          <w:szCs w:val="23"/>
        </w:rPr>
        <w:t xml:space="preserve"> </w:t>
      </w:r>
      <w:r w:rsidRPr="0052425D">
        <w:rPr>
          <w:rFonts w:ascii="Aptos Serif" w:hAnsi="Aptos Serif" w:cs="Aptos Serif"/>
          <w:sz w:val="23"/>
          <w:szCs w:val="23"/>
        </w:rPr>
        <w:t>be legible at this size: 12 cm (4.73”) x 20 cm (7.87”).</w:t>
      </w:r>
    </w:p>
    <w:p w:rsidRPr="00EC031A" w:rsidR="00FA5561" w:rsidP="00FA5561" w:rsidRDefault="00FA5561" w14:paraId="4022A1F5" w14:textId="77777777">
      <w:pPr>
        <w:tabs>
          <w:tab w:val="left" w:pos="7481"/>
        </w:tabs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Suggested font setting for tables: Times New Roman for English and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PMingLiU for Chinese, font size at 10 pts.</w:t>
      </w:r>
    </w:p>
    <w:p w:rsidRPr="00EC031A" w:rsidR="00FA5561" w:rsidP="00FA5561" w:rsidRDefault="00FA5561" w14:paraId="0BAC0B39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lastRenderedPageBreak/>
        <w:t>Tables and figures should be numbered consecutively, provided with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appropriate captions and should be referred to in the main text in this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 xml:space="preserve">manner, e.g., “in table 2,” </w:t>
      </w:r>
      <w:r w:rsidRPr="00EC031A">
        <w:rPr>
          <w:rFonts w:ascii="Aptos Serif" w:hAnsi="Aptos Serif" w:cs="Aptos Serif"/>
          <w:i/>
          <w:iCs/>
          <w:sz w:val="23"/>
          <w:szCs w:val="23"/>
        </w:rPr>
        <w:t xml:space="preserve">not </w:t>
      </w:r>
      <w:r w:rsidRPr="00EC031A">
        <w:rPr>
          <w:rFonts w:ascii="Aptos Serif" w:hAnsi="Aptos Serif" w:cs="Aptos Serif"/>
          <w:sz w:val="23"/>
          <w:szCs w:val="23"/>
        </w:rPr>
        <w:t>“in the following table:”</w:t>
      </w:r>
    </w:p>
    <w:p w:rsidRPr="00EC031A" w:rsidR="00FA5561" w:rsidP="00FA5561" w:rsidRDefault="00FA5561" w14:paraId="62374DAA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Emphasis and foreign words: Use italics for foreign language, highlighting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and emphasis. Bold should be used only for highlighting within italics and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for headings. Please refrain from the use of full caps (except for focal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stress and abbreviations) and underlining (except for highlighting within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examples, as an alternative for boldface). For terms or expressions (e.g.,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“context of situation”) and glosses of citation forms, use double quotes.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Single quotes should only be used for quotations within quotations.</w:t>
      </w:r>
    </w:p>
    <w:p w:rsidRPr="00EC031A" w:rsidR="00FA5561" w:rsidP="00FA5561" w:rsidRDefault="00FA5561" w14:paraId="7EAB694A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contextualSpacing w:val="0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Notes: Notes should be kept to a minimum. Create notes that are linked to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the text by using the endnote function, not footnote. Note indicators in the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text should appear at the end of sentences, following punctuation marks.</w:t>
      </w:r>
    </w:p>
    <w:p w:rsidRPr="00EC031A" w:rsidR="00FA5561" w:rsidP="00FA5561" w:rsidRDefault="00FA5561" w14:paraId="10F349BA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contextualSpacing w:val="0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References:</w:t>
      </w:r>
    </w:p>
    <w:p w:rsidRPr="00EC031A" w:rsidR="00FA5561" w:rsidP="00FA5561" w:rsidRDefault="00FA5561" w14:paraId="60601233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 xml:space="preserve">Please use the “Author-Date” style as described in </w:t>
      </w:r>
      <w:r w:rsidRPr="00EC031A">
        <w:rPr>
          <w:rFonts w:ascii="Aptos Serif" w:hAnsi="Aptos Serif" w:cs="Aptos Serif"/>
          <w:i/>
          <w:iCs/>
          <w:sz w:val="23"/>
          <w:szCs w:val="23"/>
        </w:rPr>
        <w:t>The Chicago Manual of</w:t>
      </w:r>
      <w:r w:rsidRPr="00EC031A">
        <w:rPr>
          <w:rFonts w:hint="eastAsia" w:ascii="Aptos Serif" w:hAnsi="Aptos Serif" w:cs="Aptos Serif"/>
          <w:i/>
          <w:iCs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i/>
          <w:iCs/>
          <w:sz w:val="23"/>
          <w:szCs w:val="23"/>
        </w:rPr>
        <w:t xml:space="preserve">Style </w:t>
      </w:r>
      <w:r w:rsidRPr="00EC031A">
        <w:rPr>
          <w:rFonts w:ascii="Aptos Serif" w:hAnsi="Aptos Serif" w:cs="Aptos Serif"/>
          <w:sz w:val="23"/>
          <w:szCs w:val="23"/>
        </w:rPr>
        <w:t>(18th ed.).</w:t>
      </w:r>
    </w:p>
    <w:p w:rsidRPr="00EC031A" w:rsidR="00FA5561" w:rsidP="5BBF09D9" w:rsidRDefault="00FA5561" w14:paraId="60A7201E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0"/>
          <w:szCs w:val="20"/>
        </w:rPr>
      </w:pPr>
      <w:r w:rsidRPr="5BBF09D9" w:rsidR="2DD06890">
        <w:rPr>
          <w:rFonts w:ascii="Aptos Serif" w:hAnsi="Aptos Serif" w:cs="Aptos Serif"/>
          <w:sz w:val="23"/>
          <w:szCs w:val="23"/>
        </w:rPr>
        <w:t>References in the text: These should be as precise as possible, giving page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references for direct quotations; for example (</w:t>
      </w:r>
      <w:r w:rsidRPr="5BBF09D9" w:rsidR="2DD06890">
        <w:rPr>
          <w:rFonts w:ascii="Aptos Serif" w:hAnsi="Aptos Serif" w:cs="Aptos Serif"/>
          <w:sz w:val="23"/>
          <w:szCs w:val="23"/>
        </w:rPr>
        <w:t>Clahsen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1991, 252) or, as in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Brown et al. (1991, 252). All references in the text should appear in the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references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section.</w:t>
      </w:r>
    </w:p>
    <w:p w:rsidRPr="00EC031A" w:rsidR="00FA5561" w:rsidP="00FA5561" w:rsidRDefault="00FA5561" w14:paraId="068806D4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References section: References should be listed first alphabetically and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then chronologically. The section should include all (and only) references</w:t>
      </w:r>
      <w:r w:rsidRPr="00EC031A">
        <w:rPr>
          <w:rFonts w:hint="eastAsia" w:ascii="Aptos Serif" w:hAnsi="Aptos Serif" w:cs="Aptos Serif"/>
          <w:sz w:val="23"/>
          <w:szCs w:val="23"/>
        </w:rPr>
        <w:t xml:space="preserve"> </w:t>
      </w:r>
      <w:r w:rsidRPr="00EC031A">
        <w:rPr>
          <w:rFonts w:ascii="Aptos Serif" w:hAnsi="Aptos Serif" w:cs="Aptos Serif"/>
          <w:sz w:val="23"/>
          <w:szCs w:val="23"/>
        </w:rPr>
        <w:t>that are actually mentioned in the text.</w:t>
      </w:r>
    </w:p>
    <w:p w:rsidRPr="00EC031A" w:rsidR="00FA5561" w:rsidP="00FA5561" w:rsidRDefault="00FA5561" w14:paraId="2B7AA405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Examples:</w:t>
      </w:r>
    </w:p>
    <w:p w:rsidRPr="00EC031A" w:rsidR="00FA5561" w:rsidP="00FA5561" w:rsidRDefault="00FA5561" w14:paraId="1AF325B7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Book:</w:t>
      </w:r>
    </w:p>
    <w:p w:rsidRPr="00EC031A" w:rsidR="00F75A8F" w:rsidP="5BBF09D9" w:rsidRDefault="00F75A8F" w14:paraId="6EE80B58" w14:textId="76DFA8CD">
      <w:pPr>
        <w:adjustRightInd w:val="0"/>
        <w:snapToGrid w:val="0"/>
        <w:spacing w:before="120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5BBF09D9" w:rsidR="44786DD3">
        <w:rPr>
          <w:rFonts w:ascii="Aptos Serif" w:hAnsi="Aptos Serif" w:cs="Aptos Serif"/>
          <w:sz w:val="23"/>
          <w:szCs w:val="23"/>
        </w:rPr>
        <w:t xml:space="preserve">Bubb, Alexander (2023). </w:t>
      </w:r>
      <w:r w:rsidRPr="5BBF09D9" w:rsidR="44786DD3">
        <w:rPr>
          <w:rFonts w:ascii="Aptos Serif" w:hAnsi="Aptos Serif" w:cs="Aptos Serif"/>
          <w:i w:val="1"/>
          <w:iCs w:val="1"/>
          <w:sz w:val="23"/>
          <w:szCs w:val="23"/>
        </w:rPr>
        <w:t>Asian</w:t>
      </w:r>
      <w:r w:rsidRPr="5BBF09D9" w:rsidR="44786DD3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5BBF09D9" w:rsidR="44786DD3">
        <w:rPr>
          <w:rFonts w:ascii="Aptos Serif" w:hAnsi="Aptos Serif" w:cs="Aptos Serif"/>
          <w:i w:val="1"/>
          <w:iCs w:val="1"/>
          <w:sz w:val="23"/>
          <w:szCs w:val="23"/>
        </w:rPr>
        <w:t>Classics on the Victorian Bookshelf: Flights of Translation</w:t>
      </w:r>
      <w:r w:rsidRPr="5BBF09D9" w:rsidR="44786DD3">
        <w:rPr>
          <w:rFonts w:ascii="Aptos Serif" w:hAnsi="Aptos Serif" w:cs="Aptos Serif"/>
          <w:sz w:val="23"/>
          <w:szCs w:val="23"/>
        </w:rPr>
        <w:t>. Oxford</w:t>
      </w:r>
      <w:r w:rsidRPr="5BBF09D9" w:rsidR="0840D359">
        <w:rPr>
          <w:rFonts w:ascii="Aptos Serif" w:hAnsi="Aptos Serif" w:cs="Aptos Serif"/>
          <w:sz w:val="23"/>
          <w:szCs w:val="23"/>
        </w:rPr>
        <w:t xml:space="preserve"> </w:t>
      </w:r>
      <w:r w:rsidRPr="5BBF09D9" w:rsidR="44786DD3">
        <w:rPr>
          <w:rFonts w:ascii="Aptos Serif" w:hAnsi="Aptos Serif" w:cs="Aptos Serif"/>
          <w:sz w:val="23"/>
          <w:szCs w:val="23"/>
        </w:rPr>
        <w:t>University Press.</w:t>
      </w:r>
    </w:p>
    <w:p w:rsidRPr="00EC031A" w:rsidR="00FA5561" w:rsidP="5BBF09D9" w:rsidRDefault="00FA5561" w14:paraId="36A8955F" w14:textId="5EF66944">
      <w:pPr>
        <w:adjustRightInd w:val="0"/>
        <w:snapToGrid w:val="0"/>
        <w:spacing w:before="120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 xml:space="preserve">Spear, Norman E., and Ralph R. Miller (eds.) (1981). </w:t>
      </w:r>
      <w:r w:rsidRPr="5BBF09D9" w:rsidR="2DD06890">
        <w:rPr>
          <w:rFonts w:ascii="Aptos Serif" w:hAnsi="Aptos Serif" w:cs="Aptos Serif"/>
          <w:i w:val="1"/>
          <w:iCs w:val="1"/>
          <w:sz w:val="23"/>
          <w:szCs w:val="23"/>
        </w:rPr>
        <w:t>Information</w:t>
      </w:r>
      <w:r w:rsidRPr="5BBF09D9" w:rsidR="2DD06890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i w:val="1"/>
          <w:iCs w:val="1"/>
          <w:sz w:val="23"/>
          <w:szCs w:val="23"/>
        </w:rPr>
        <w:t>Processing in Animals: Memory Mechanisms</w:t>
      </w:r>
      <w:r w:rsidRPr="5BBF09D9" w:rsidR="2DD06890">
        <w:rPr>
          <w:rFonts w:ascii="Aptos Serif" w:hAnsi="Aptos Serif" w:cs="Aptos Serif"/>
          <w:sz w:val="23"/>
          <w:szCs w:val="23"/>
        </w:rPr>
        <w:t>. Lawrence Erlbaum.</w:t>
      </w:r>
    </w:p>
    <w:p w:rsidRPr="00EC031A" w:rsidR="00FA5561" w:rsidP="00FA5561" w:rsidRDefault="00FA5561" w14:paraId="7C772A76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Article (in book):</w:t>
      </w:r>
    </w:p>
    <w:p w:rsidR="009C06AE" w:rsidP="5BBF09D9" w:rsidRDefault="00546B08" w14:paraId="076FF002" w14:textId="45C3E6DA">
      <w:pPr>
        <w:adjustRightInd w:val="0"/>
        <w:snapToGrid w:val="0"/>
        <w:spacing w:before="120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5BBF09D9" w:rsidR="13C77F6F">
        <w:rPr>
          <w:rFonts w:ascii="Aptos Serif" w:hAnsi="Aptos Serif" w:cs="Aptos Serif"/>
          <w:sz w:val="23"/>
          <w:szCs w:val="23"/>
        </w:rPr>
        <w:t>Lehr, Caroline (2021).</w:t>
      </w:r>
      <w:r w:rsidRPr="5BBF09D9" w:rsidR="13C77F6F">
        <w:rPr>
          <w:rFonts w:ascii="Aptos Serif" w:hAnsi="Aptos Serif" w:cs="Aptos Serif"/>
          <w:sz w:val="23"/>
          <w:szCs w:val="23"/>
        </w:rPr>
        <w:t xml:space="preserve"> “</w:t>
      </w:r>
      <w:r w:rsidRPr="5BBF09D9" w:rsidR="0E119662">
        <w:rPr>
          <w:rFonts w:ascii="Aptos Serif" w:hAnsi="Aptos Serif" w:cs="Aptos Serif"/>
          <w:sz w:val="23"/>
          <w:szCs w:val="23"/>
        </w:rPr>
        <w:t>Translation, Emotion and Cognition.</w:t>
      </w:r>
      <w:r w:rsidRPr="5BBF09D9" w:rsidR="13C77F6F">
        <w:rPr>
          <w:rFonts w:ascii="Aptos Serif" w:hAnsi="Aptos Serif" w:cs="Aptos Serif"/>
          <w:sz w:val="23"/>
          <w:szCs w:val="23"/>
        </w:rPr>
        <w:t>”</w:t>
      </w:r>
      <w:r w:rsidRPr="5BBF09D9" w:rsidR="0E119662">
        <w:rPr>
          <w:rFonts w:ascii="Aptos Serif" w:hAnsi="Aptos Serif" w:cs="Aptos Serif"/>
          <w:sz w:val="23"/>
          <w:szCs w:val="23"/>
        </w:rPr>
        <w:t xml:space="preserve"> In </w:t>
      </w:r>
      <w:r w:rsidRPr="5BBF09D9" w:rsidR="0E119662">
        <w:rPr>
          <w:rFonts w:ascii="Aptos Serif" w:hAnsi="Aptos Serif" w:cs="Aptos Serif"/>
          <w:i w:val="1"/>
          <w:iCs w:val="1"/>
          <w:sz w:val="23"/>
          <w:szCs w:val="23"/>
        </w:rPr>
        <w:t>The Routledge Handbook of Translation and Cognition</w:t>
      </w:r>
      <w:r w:rsidRPr="5BBF09D9" w:rsidR="0E119662">
        <w:rPr>
          <w:rFonts w:ascii="Aptos Serif" w:hAnsi="Aptos Serif" w:cs="Aptos Serif"/>
          <w:sz w:val="23"/>
          <w:szCs w:val="23"/>
        </w:rPr>
        <w:t>, ed. by Fabio Alves, and Arnt Lykke Jakobsen, 294-309. Routledge.</w:t>
      </w:r>
    </w:p>
    <w:p w:rsidRPr="00EC031A" w:rsidR="00FA5561" w:rsidP="00FA5561" w:rsidRDefault="00FA5561" w14:paraId="0A234F7F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Article (in journal):</w:t>
      </w:r>
    </w:p>
    <w:p w:rsidRPr="00EC031A" w:rsidR="00FA5561" w:rsidP="00FA5561" w:rsidRDefault="00FA5561" w14:paraId="07AD7D3B" w14:textId="77777777">
      <w:pPr>
        <w:adjustRightInd w:val="0"/>
        <w:snapToGrid w:val="0"/>
        <w:spacing w:before="120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Claes, Jeroen, and Luis A. Ortiz López (2011). “</w:t>
      </w:r>
      <w:r w:rsidRPr="5BBF09D9" w:rsidR="2DD06890">
        <w:rPr>
          <w:rFonts w:ascii="Aptos Serif" w:hAnsi="Aptos Serif" w:cs="Aptos Serif"/>
          <w:sz w:val="23"/>
          <w:szCs w:val="23"/>
        </w:rPr>
        <w:t>Restricciones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pragmáticas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y </w:t>
      </w:r>
      <w:r w:rsidRPr="5BBF09D9" w:rsidR="2DD06890">
        <w:rPr>
          <w:rFonts w:ascii="Aptos Serif" w:hAnsi="Aptos Serif" w:cs="Aptos Serif"/>
          <w:sz w:val="23"/>
          <w:szCs w:val="23"/>
        </w:rPr>
        <w:t>sociales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en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la </w:t>
      </w:r>
      <w:r w:rsidRPr="5BBF09D9" w:rsidR="2DD06890">
        <w:rPr>
          <w:rFonts w:ascii="Aptos Serif" w:hAnsi="Aptos Serif" w:cs="Aptos Serif"/>
          <w:sz w:val="23"/>
          <w:szCs w:val="23"/>
        </w:rPr>
        <w:t>expresión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de </w:t>
      </w:r>
      <w:r w:rsidRPr="5BBF09D9" w:rsidR="2DD06890">
        <w:rPr>
          <w:rFonts w:ascii="Aptos Serif" w:hAnsi="Aptos Serif" w:cs="Aptos Serif"/>
          <w:sz w:val="23"/>
          <w:szCs w:val="23"/>
        </w:rPr>
        <w:t>futuridad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en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el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español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de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Puerto Rico” [Pragmatic </w:t>
      </w:r>
      <w:r w:rsidRPr="5BBF09D9" w:rsidR="2DD06890">
        <w:rPr>
          <w:rFonts w:ascii="Aptos Serif" w:hAnsi="Aptos Serif" w:cs="Aptos Serif"/>
          <w:sz w:val="23"/>
          <w:szCs w:val="23"/>
        </w:rPr>
        <w:t>and social restrictions in the expression of the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future in Puerto Rican Spanish]. </w:t>
      </w:r>
      <w:r w:rsidRPr="5BBF09D9" w:rsidR="2DD06890">
        <w:rPr>
          <w:rFonts w:ascii="Aptos Serif" w:hAnsi="Aptos Serif" w:cs="Aptos Serif"/>
          <w:i w:val="1"/>
          <w:iCs w:val="1"/>
          <w:sz w:val="23"/>
          <w:szCs w:val="23"/>
        </w:rPr>
        <w:t xml:space="preserve">Spanish in Context </w:t>
      </w:r>
      <w:r w:rsidRPr="5BBF09D9" w:rsidR="2DD06890">
        <w:rPr>
          <w:rFonts w:ascii="Aptos Serif" w:hAnsi="Aptos Serif" w:cs="Aptos Serif"/>
          <w:sz w:val="23"/>
          <w:szCs w:val="23"/>
        </w:rPr>
        <w:t>8: 50–72.</w:t>
      </w:r>
    </w:p>
    <w:p w:rsidRPr="00DA0435" w:rsidR="00DA0435" w:rsidP="68CD8AC7" w:rsidRDefault="00DA0435" w14:paraId="6F2F5596" w14:textId="2E754735">
      <w:pPr>
        <w:adjustRightInd w:val="0"/>
        <w:snapToGrid w:val="0"/>
        <w:spacing w:before="0" w:beforeAutospacing="off" w:after="0" w:afterAutospacing="off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5BBF09D9" w:rsidR="14C39559">
        <w:rPr>
          <w:rFonts w:ascii="Aptos Serif" w:hAnsi="Aptos Serif" w:cs="Aptos Serif"/>
          <w:sz w:val="23"/>
          <w:szCs w:val="23"/>
        </w:rPr>
        <w:t>O’Brien, Sharon (2023). “Human-Centered Augmented Translation: Against</w:t>
      </w:r>
    </w:p>
    <w:p w:rsidRPr="00EC031A" w:rsidR="00DA0435" w:rsidP="68CD8AC7" w:rsidRDefault="00DA0435" w14:paraId="2C298798" w14:textId="05F344B2">
      <w:pPr>
        <w:adjustRightInd w:val="0"/>
        <w:snapToGrid w:val="0"/>
        <w:spacing w:before="0" w:beforeAutospacing="off" w:after="160" w:afterAutospacing="off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68CD8AC7" w:rsidR="40B4E00A">
        <w:rPr>
          <w:rFonts w:ascii="Aptos Serif" w:hAnsi="Aptos Serif" w:cs="Aptos Serif"/>
          <w:sz w:val="23"/>
          <w:szCs w:val="23"/>
        </w:rPr>
        <w:t xml:space="preserve">Antagonistic Dualisms.” </w:t>
      </w:r>
      <w:r w:rsidRPr="68CD8AC7" w:rsidR="40B4E00A">
        <w:rPr>
          <w:rFonts w:ascii="Aptos Serif" w:hAnsi="Aptos Serif" w:cs="Aptos Serif"/>
          <w:i w:val="1"/>
          <w:iCs w:val="1"/>
          <w:sz w:val="23"/>
          <w:szCs w:val="23"/>
        </w:rPr>
        <w:t>Perspectives</w:t>
      </w:r>
      <w:r w:rsidRPr="68CD8AC7" w:rsidR="40B4E00A">
        <w:rPr>
          <w:rFonts w:ascii="Aptos Serif" w:hAnsi="Aptos Serif" w:cs="Aptos Serif"/>
          <w:i w:val="1"/>
          <w:iCs w:val="1"/>
          <w:sz w:val="23"/>
          <w:szCs w:val="23"/>
        </w:rPr>
        <w:t xml:space="preserve"> </w:t>
      </w:r>
      <w:r w:rsidRPr="68CD8AC7" w:rsidR="40B4E00A">
        <w:rPr>
          <w:rFonts w:ascii="Aptos Serif" w:hAnsi="Aptos Serif" w:cs="Aptos Serif"/>
          <w:sz w:val="23"/>
          <w:szCs w:val="23"/>
        </w:rPr>
        <w:t>32 (3): 391–406.</w:t>
      </w:r>
    </w:p>
    <w:p w:rsidRPr="00EC031A" w:rsidR="00FA5561" w:rsidP="00FA5561" w:rsidRDefault="00FA5561" w14:paraId="02E21424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EC031A">
        <w:rPr>
          <w:rFonts w:ascii="Aptos Serif" w:hAnsi="Aptos Serif" w:cs="Aptos Serif"/>
          <w:sz w:val="23"/>
          <w:szCs w:val="23"/>
        </w:rPr>
        <w:t>Website:</w:t>
      </w:r>
    </w:p>
    <w:p w:rsidRPr="00903FA9" w:rsidR="00903FA9" w:rsidP="5BBF09D9" w:rsidRDefault="005D3D90" w14:paraId="43424A83" w14:textId="6F5B2D36">
      <w:pPr>
        <w:adjustRightInd w:val="0"/>
        <w:snapToGrid w:val="0"/>
        <w:spacing w:before="120" w:line="276" w:lineRule="auto"/>
        <w:ind w:left="851"/>
        <w:jc w:val="both"/>
        <w:rPr>
          <w:rFonts w:ascii="Aptos Serif" w:hAnsi="Aptos Serif" w:cs="Aptos Serif"/>
          <w:sz w:val="23"/>
          <w:szCs w:val="23"/>
        </w:rPr>
      </w:pPr>
      <w:r w:rsidRPr="00080864" w:rsidR="0DCBF5C5">
        <w:rPr>
          <w:rFonts w:ascii="Aptos Serif" w:hAnsi="Aptos Serif" w:cs="Aptos Serif"/>
          <w:sz w:val="23"/>
          <w:szCs w:val="23"/>
        </w:rPr>
        <w:t>Barmé</w:t>
      </w:r>
      <w:r w:rsidR="0DCBF5C5">
        <w:rPr>
          <w:rFonts w:ascii="Aptos Serif" w:hAnsi="Aptos Serif" w:cs="Aptos Serif"/>
          <w:sz w:val="23"/>
          <w:szCs w:val="23"/>
        </w:rPr>
        <w:t>,</w:t>
      </w:r>
      <w:r w:rsidRPr="00EC3DE3" w:rsidR="2DBFC446">
        <w:rPr>
          <w:rFonts w:ascii="TimesNewRomanPSMT" w:hAnsi="TimesNewRomanPSMT" w:cs="TimesNewRomanPSMT"/>
          <w:kern w:val="0"/>
          <w:sz w:val="19"/>
          <w:szCs w:val="19"/>
        </w:rPr>
        <w:t xml:space="preserve"> </w:t>
      </w:r>
      <w:r w:rsidRPr="00EC3DE3" w:rsidR="2DBFC446">
        <w:rPr>
          <w:rFonts w:ascii="Aptos Serif" w:hAnsi="Aptos Serif" w:cs="Aptos Serif"/>
          <w:sz w:val="23"/>
          <w:szCs w:val="23"/>
        </w:rPr>
        <w:t>Geremie R.</w:t>
      </w:r>
      <w:r w:rsidR="2DBFC446">
        <w:rPr>
          <w:rFonts w:ascii="Aptos Serif" w:hAnsi="Aptos Serif" w:cs="Aptos Serif"/>
          <w:sz w:val="23"/>
          <w:szCs w:val="23"/>
        </w:rPr>
        <w:t xml:space="preserve"> (2023)</w:t>
      </w:r>
      <w:r w:rsidR="2DBFC446">
        <w:rPr>
          <w:rFonts w:ascii="Aptos Serif" w:hAnsi="Aptos Serif" w:cs="Aptos Serif"/>
          <w:sz w:val="23"/>
          <w:szCs w:val="23"/>
        </w:rPr>
        <w:t xml:space="preserve">.</w:t>
      </w:r>
      <w:r w:rsidR="1DC7F86C">
        <w:rPr>
          <w:rFonts w:ascii="Aptos Serif" w:hAnsi="Aptos Serif" w:cs="Aptos Serif"/>
          <w:sz w:val="23"/>
          <w:szCs w:val="23"/>
        </w:rPr>
        <w:t xml:space="preserve"> </w:t>
      </w:r>
      <w:r w:rsidRPr="00080864" w:rsidR="1DC7F86C">
        <w:rPr>
          <w:rFonts w:ascii="Aptos Serif" w:hAnsi="Aptos Serif" w:cs="Aptos Serif"/>
          <w:sz w:val="23"/>
          <w:szCs w:val="23"/>
        </w:rPr>
        <w:t xml:space="preserve"> </w:t>
      </w:r>
      <w:r w:rsidRPr="00C55B30" w:rsidR="05AAC08D">
        <w:rPr>
          <w:rFonts w:ascii="Aptos Serif" w:hAnsi="Aptos Serif" w:cs="Aptos Serif"/>
          <w:sz w:val="23"/>
          <w:szCs w:val="23"/>
        </w:rPr>
        <w:t xml:space="preserve">“What is New Sinology?” </w:t>
      </w:r>
      <w:r w:rsidRPr="5BBF09D9" w:rsidR="05AAC08D">
        <w:rPr>
          <w:rFonts w:ascii="Aptos Serif" w:hAnsi="Aptos Serif" w:cs="Aptos Serif"/>
          <w:i w:val="1"/>
          <w:iCs w:val="1"/>
          <w:sz w:val="23"/>
          <w:szCs w:val="23"/>
        </w:rPr>
        <w:t>China Heritage</w:t>
      </w:r>
      <w:r w:rsidRPr="00C55B30" w:rsidR="05AAC08D">
        <w:rPr>
          <w:rFonts w:ascii="Aptos Serif" w:hAnsi="Aptos Serif" w:cs="Aptos Serif"/>
          <w:sz w:val="23"/>
          <w:szCs w:val="23"/>
        </w:rPr>
        <w:t>, n.d. https://chinaheritage.net/reader/what-is-new-sinology/. Accessed 13 October 2023.</w:t>
      </w:r>
    </w:p>
    <w:p w:rsidRPr="00EC031A" w:rsidR="00FA5561" w:rsidP="5BBF09D9" w:rsidRDefault="00FA5561" w14:paraId="372BD50A" w14:textId="16AE9978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Spelling and punctuation: Please use American spellings and punctuation,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including spellings in -</w:t>
      </w:r>
      <w:r w:rsidRPr="5BBF09D9" w:rsidR="2DD06890">
        <w:rPr>
          <w:rFonts w:ascii="Aptos Serif" w:hAnsi="Aptos Serif" w:cs="Aptos Serif"/>
          <w:sz w:val="23"/>
          <w:szCs w:val="23"/>
        </w:rPr>
        <w:t>ize</w:t>
      </w:r>
      <w:r w:rsidRPr="5BBF09D9" w:rsidR="2DD06890">
        <w:rPr>
          <w:rFonts w:ascii="Aptos Serif" w:hAnsi="Aptos Serif" w:cs="Aptos Serif"/>
          <w:sz w:val="23"/>
          <w:szCs w:val="23"/>
        </w:rPr>
        <w:t>, -or, etc.</w:t>
      </w:r>
    </w:p>
    <w:p w:rsidR="00FA5561" w:rsidP="5BBF09D9" w:rsidRDefault="00FA5561" w14:paraId="2798AEB6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punctuation that includes a comma before “and” or “or” in a series of 3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items (e.g., lexis, morphology, and syntax)</w:t>
      </w:r>
    </w:p>
    <w:p w:rsidR="00FA5561" w:rsidP="5BBF09D9" w:rsidRDefault="00FA5561" w14:paraId="277339EF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commas to set off any preceding dependent clause of a complex sentence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or to divide a compound sentence</w:t>
      </w:r>
    </w:p>
    <w:p w:rsidR="00FA5561" w:rsidP="5BBF09D9" w:rsidRDefault="00FA5561" w14:paraId="0A825A0C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 xml:space="preserve">double quotes to enclose a quotation and single quotes to </w:t>
      </w:r>
      <w:r w:rsidRPr="5BBF09D9" w:rsidR="2DD06890">
        <w:rPr>
          <w:rFonts w:ascii="Aptos Serif" w:hAnsi="Aptos Serif" w:cs="Aptos Serif"/>
          <w:sz w:val="23"/>
          <w:szCs w:val="23"/>
        </w:rPr>
        <w:t>indicate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a quote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within a quote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</w:p>
    <w:p w:rsidRPr="00C50AFA" w:rsidR="00FA5561" w:rsidP="5BBF09D9" w:rsidRDefault="00FA5561" w14:paraId="45C53821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end quotes after punctuation (i.e., “to be done.”)</w:t>
      </w:r>
    </w:p>
    <w:p w:rsidRPr="00C50AFA" w:rsidR="00FA5561" w:rsidP="5BBF09D9" w:rsidRDefault="00FA5561" w14:paraId="3A07258D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 xml:space="preserve">comma after </w:t>
      </w:r>
      <w:r w:rsidRPr="5BBF09D9" w:rsidR="2DD06890">
        <w:rPr>
          <w:rFonts w:ascii="Aptos Serif" w:hAnsi="Aptos Serif" w:cs="Aptos Serif"/>
          <w:sz w:val="23"/>
          <w:szCs w:val="23"/>
        </w:rPr>
        <w:t>i.e.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and e.g.</w:t>
      </w:r>
    </w:p>
    <w:p w:rsidRPr="00C50AFA" w:rsidR="00FA5561" w:rsidP="5BBF09D9" w:rsidRDefault="00FA5561" w14:paraId="3F386AB7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do not punctuate lists</w:t>
      </w:r>
    </w:p>
    <w:p w:rsidRPr="00EC031A" w:rsidR="00FA5561" w:rsidP="5BBF09D9" w:rsidRDefault="00FA5561" w14:paraId="7262B5CF" w14:textId="77777777">
      <w:pPr>
        <w:pStyle w:val="ListParagraph"/>
        <w:numPr>
          <w:ilvl w:val="0"/>
          <w:numId w:val="2"/>
        </w:numPr>
        <w:adjustRightInd w:val="0"/>
        <w:snapToGrid w:val="0"/>
        <w:spacing w:before="120" w:line="276" w:lineRule="auto"/>
        <w:ind w:left="454" w:hanging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Miscellaneous:</w:t>
      </w:r>
    </w:p>
    <w:p w:rsidRPr="00C50AFA" w:rsidR="00FA5561" w:rsidP="5BBF09D9" w:rsidRDefault="00FA5561" w14:paraId="4FE5C367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Section headers, if used, should simply be phrases, numbered 1, 2, 3, with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subsections using (a), (b), etcetera. Please restrict headers to three or four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per essay. They may be italicized.</w:t>
      </w:r>
    </w:p>
    <w:p w:rsidRPr="00C50AFA" w:rsidR="00FA5561" w:rsidP="5BBF09D9" w:rsidRDefault="00FA5561" w14:paraId="3C863457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indicate a new paragraph with a single tab</w:t>
      </w:r>
    </w:p>
    <w:p w:rsidRPr="00C50AFA" w:rsidR="00FA5561" w:rsidP="5BBF09D9" w:rsidRDefault="00FA5561" w14:paraId="0392B2FE" w14:textId="77777777">
      <w:pPr>
        <w:adjustRightInd w:val="0"/>
        <w:snapToGrid w:val="0"/>
        <w:spacing w:before="120" w:line="276" w:lineRule="auto"/>
        <w:ind w:left="454"/>
        <w:jc w:val="both"/>
        <w:rPr>
          <w:rFonts w:ascii="Aptos Serif" w:hAnsi="Aptos Serif" w:cs="Aptos Serif"/>
          <w:sz w:val="23"/>
          <w:szCs w:val="23"/>
        </w:rPr>
      </w:pPr>
      <w:r w:rsidRPr="5BBF09D9" w:rsidR="2DD06890">
        <w:rPr>
          <w:rFonts w:ascii="Aptos Serif" w:hAnsi="Aptos Serif" w:cs="Aptos Serif"/>
          <w:sz w:val="23"/>
          <w:szCs w:val="23"/>
        </w:rPr>
        <w:t>set off any introductory phrase of five words or more with a comma, e.g.,</w:t>
      </w:r>
      <w:r w:rsidRPr="5BBF09D9" w:rsidR="2DD06890">
        <w:rPr>
          <w:rFonts w:ascii="Aptos Serif" w:hAnsi="Aptos Serif" w:cs="Aptos Serif"/>
          <w:sz w:val="23"/>
          <w:szCs w:val="23"/>
        </w:rPr>
        <w:t xml:space="preserve"> </w:t>
      </w:r>
      <w:r w:rsidRPr="5BBF09D9" w:rsidR="2DD06890">
        <w:rPr>
          <w:rFonts w:ascii="Aptos Serif" w:hAnsi="Aptos Serif" w:cs="Aptos Serif"/>
          <w:sz w:val="23"/>
          <w:szCs w:val="23"/>
        </w:rPr>
        <w:t>“Towards the end of World War II, ...”</w:t>
      </w:r>
    </w:p>
    <w:p w:rsidRPr="00C50AFA" w:rsidR="00FA5561" w:rsidP="00FA5561" w:rsidRDefault="00FA5561" w14:paraId="2DE97565" w14:textId="08CC0A2A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dates should be of the form “20 October 20</w:t>
      </w:r>
      <w:r w:rsidR="00E24C67">
        <w:rPr>
          <w:rFonts w:ascii="Aptos Serif" w:hAnsi="Aptos Serif" w:cs="Aptos Serif"/>
          <w:sz w:val="23"/>
          <w:szCs w:val="23"/>
        </w:rPr>
        <w:t>25</w:t>
      </w:r>
      <w:r w:rsidRPr="00C50AFA">
        <w:rPr>
          <w:rFonts w:ascii="Aptos Serif" w:hAnsi="Aptos Serif" w:cs="Aptos Serif"/>
          <w:sz w:val="23"/>
          <w:szCs w:val="23"/>
        </w:rPr>
        <w:t>”</w:t>
      </w:r>
    </w:p>
    <w:p w:rsidRPr="00C50AFA" w:rsidR="00FA5561" w:rsidP="00FA5561" w:rsidRDefault="00FA5561" w14:paraId="7049633A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decades should be of the form “the 1980s”</w:t>
      </w:r>
    </w:p>
    <w:p w:rsidRPr="00C50AFA" w:rsidR="00FA5561" w:rsidP="00FA5561" w:rsidRDefault="00FA5561" w14:paraId="4A70A979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spell out centuries, e.g., “eighteenth century”</w:t>
      </w:r>
    </w:p>
    <w:p w:rsidRPr="00C50AFA" w:rsidR="00FA5561" w:rsidP="00FA5561" w:rsidRDefault="00FA5561" w14:paraId="5F22551B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at first mention of an author in your text, provide the full name, e.g., “Anne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Ross...”; all following in-text references should use only the last name</w:t>
      </w:r>
    </w:p>
    <w:p w:rsidRPr="00C50AFA" w:rsidR="00FA5561" w:rsidP="00FA5561" w:rsidRDefault="00FA5561" w14:paraId="4327D7F5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use “and” in place of “&amp;,” and “see” in place of “cf.”</w:t>
      </w:r>
    </w:p>
    <w:p w:rsidRPr="00C50AFA" w:rsidR="00FA5561" w:rsidP="00FA5561" w:rsidRDefault="00FA5561" w14:paraId="6A94A21A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lastRenderedPageBreak/>
        <w:t>use minimal capitalization, e.g., “translation studies,” “the Roman Catholic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church”</w:t>
      </w:r>
    </w:p>
    <w:p w:rsidRPr="00C50AFA" w:rsidR="00FA5561" w:rsidP="00FA5561" w:rsidRDefault="00FA5561" w14:paraId="631B9FF3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use minimal hyphenization, e.g., “postcolonial”</w:t>
      </w:r>
    </w:p>
    <w:p w:rsidRPr="00C50AFA" w:rsidR="00FA5561" w:rsidP="00FA5561" w:rsidRDefault="00FA5561" w14:paraId="35D42BAF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possessives of names ending in “s” should take the form of “Yeats’s”</w:t>
      </w:r>
    </w:p>
    <w:p w:rsidRPr="00C50AFA" w:rsidR="00FA5561" w:rsidP="00FA5561" w:rsidRDefault="00FA5561" w14:paraId="279C9C76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please avoid inappropriately gendered language, finding locutions as well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that avoid awkward forms like “his/her” whenever possible</w:t>
      </w:r>
    </w:p>
    <w:p w:rsidRPr="00C50AFA" w:rsidR="00FA5561" w:rsidP="00FA5561" w:rsidRDefault="00FA5561" w14:paraId="3E2B2413" w14:textId="77777777">
      <w:pPr>
        <w:adjustRightInd w:val="0"/>
        <w:snapToGrid w:val="0"/>
        <w:spacing w:before="120" w:line="276" w:lineRule="auto"/>
        <w:ind w:left="454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represent dashes as two hyphens, no spaces, e.g., “despite the difficulty--however great.”</w:t>
      </w:r>
    </w:p>
    <w:p w:rsidR="00FA5561" w:rsidP="00FA5561" w:rsidRDefault="00FA5561" w14:paraId="1813B224" w14:textId="77777777">
      <w:pPr>
        <w:adjustRightInd w:val="0"/>
        <w:snapToGrid w:val="0"/>
        <w:spacing w:before="120" w:line="276" w:lineRule="auto"/>
        <w:rPr>
          <w:rFonts w:ascii="Aptos Serif" w:hAnsi="Aptos Serif" w:cs="Aptos Serif"/>
          <w:sz w:val="23"/>
          <w:szCs w:val="23"/>
        </w:rPr>
      </w:pPr>
      <w:r w:rsidRPr="00C50AFA">
        <w:rPr>
          <w:rFonts w:ascii="Aptos Serif" w:hAnsi="Aptos Serif" w:cs="Aptos Serif"/>
          <w:sz w:val="23"/>
          <w:szCs w:val="23"/>
        </w:rPr>
        <w:t>For references in Chinese, please read the Chinese version of the “Notes to</w:t>
      </w:r>
      <w:r>
        <w:rPr>
          <w:rFonts w:hint="eastAsia" w:ascii="Aptos Serif" w:hAnsi="Aptos Serif" w:cs="Aptos Serif"/>
          <w:sz w:val="23"/>
          <w:szCs w:val="23"/>
        </w:rPr>
        <w:t xml:space="preserve"> </w:t>
      </w:r>
      <w:r w:rsidRPr="00C50AFA">
        <w:rPr>
          <w:rFonts w:ascii="Aptos Serif" w:hAnsi="Aptos Serif" w:cs="Aptos Serif"/>
          <w:sz w:val="23"/>
          <w:szCs w:val="23"/>
        </w:rPr>
        <w:t>Contributors.”</w:t>
      </w:r>
    </w:p>
    <w:sectPr w:rsidR="00FA5561" w:rsidSect="00FA5561">
      <w:pgSz w:w="11906" w:h="16838" w:orient="portrait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Serif">
    <w:charset w:val="00"/>
    <w:family w:val="roman"/>
    <w:pitch w:val="variable"/>
    <w:sig w:usb0="A11526FF" w:usb1="C000ECFB" w:usb2="0001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8070000" w:usb2="00000010" w:usb3="00000000" w:csb0="0002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B6406D"/>
    <w:multiLevelType w:val="hybridMultilevel"/>
    <w:tmpl w:val="B9907034"/>
    <w:lvl w:ilvl="0" w:tplc="D3805056">
      <w:start w:val="6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D00389"/>
    <w:multiLevelType w:val="hybridMultilevel"/>
    <w:tmpl w:val="92B0DD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216E60"/>
    <w:multiLevelType w:val="hybridMultilevel"/>
    <w:tmpl w:val="AF306B6A"/>
    <w:lvl w:ilvl="0" w:tplc="091CDA60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3A431C"/>
    <w:multiLevelType w:val="hybridMultilevel"/>
    <w:tmpl w:val="9FAAB2E4"/>
    <w:lvl w:ilvl="0" w:tplc="CA6C1898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D04484"/>
    <w:multiLevelType w:val="hybridMultilevel"/>
    <w:tmpl w:val="5032EEF4"/>
    <w:lvl w:ilvl="0" w:tplc="774E60E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A91EE4"/>
    <w:multiLevelType w:val="multilevel"/>
    <w:tmpl w:val="CCEE858E"/>
    <w:lvl w:ilvl="0">
      <w:start w:val="1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" w15:restartNumberingAfterBreak="0">
    <w:nsid w:val="67102856"/>
    <w:multiLevelType w:val="hybridMultilevel"/>
    <w:tmpl w:val="6096BDD4"/>
    <w:lvl w:ilvl="0" w:tplc="091CDA60">
      <w:start w:val="1"/>
      <w:numFmt w:val="taiwaneseCountingThousand"/>
      <w:lvlText w:val="%1、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8A4ADE"/>
    <w:multiLevelType w:val="multilevel"/>
    <w:tmpl w:val="71041B52"/>
    <w:lvl w:ilvl="0">
      <w:start w:val="6"/>
      <w:numFmt w:val="taiwaneseCountingThousand"/>
      <w:lvlText w:val="%1、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num w:numId="1" w16cid:durableId="678123787">
    <w:abstractNumId w:val="1"/>
  </w:num>
  <w:num w:numId="2" w16cid:durableId="1963806011">
    <w:abstractNumId w:val="4"/>
  </w:num>
  <w:num w:numId="3" w16cid:durableId="811824014">
    <w:abstractNumId w:val="2"/>
  </w:num>
  <w:num w:numId="4" w16cid:durableId="1634481757">
    <w:abstractNumId w:val="3"/>
  </w:num>
  <w:num w:numId="5" w16cid:durableId="1155102198">
    <w:abstractNumId w:val="0"/>
  </w:num>
  <w:num w:numId="6" w16cid:durableId="1052726586">
    <w:abstractNumId w:val="5"/>
  </w:num>
  <w:num w:numId="7" w16cid:durableId="1848865775">
    <w:abstractNumId w:val="6"/>
  </w:num>
  <w:num w:numId="8" w16cid:durableId="18276727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trackRevisions w:val="false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5561"/>
    <w:rsid w:val="00080864"/>
    <w:rsid w:val="000935A9"/>
    <w:rsid w:val="00100B11"/>
    <w:rsid w:val="001215DB"/>
    <w:rsid w:val="001379FF"/>
    <w:rsid w:val="00137F29"/>
    <w:rsid w:val="001E1F3E"/>
    <w:rsid w:val="0037447E"/>
    <w:rsid w:val="00504FEB"/>
    <w:rsid w:val="00546B08"/>
    <w:rsid w:val="00554249"/>
    <w:rsid w:val="00557649"/>
    <w:rsid w:val="0058496F"/>
    <w:rsid w:val="005D3D90"/>
    <w:rsid w:val="005E3C34"/>
    <w:rsid w:val="006A6D81"/>
    <w:rsid w:val="00903FA9"/>
    <w:rsid w:val="00911F69"/>
    <w:rsid w:val="0096535D"/>
    <w:rsid w:val="009C06AE"/>
    <w:rsid w:val="00A549B4"/>
    <w:rsid w:val="00A67162"/>
    <w:rsid w:val="00A921FC"/>
    <w:rsid w:val="00AE3E76"/>
    <w:rsid w:val="00B3616E"/>
    <w:rsid w:val="00BF0657"/>
    <w:rsid w:val="00C55B30"/>
    <w:rsid w:val="00DA0435"/>
    <w:rsid w:val="00DA3176"/>
    <w:rsid w:val="00E24C67"/>
    <w:rsid w:val="00E53AC4"/>
    <w:rsid w:val="00EC3DE3"/>
    <w:rsid w:val="00F21527"/>
    <w:rsid w:val="00F75A8F"/>
    <w:rsid w:val="00FA5561"/>
    <w:rsid w:val="05AAC08D"/>
    <w:rsid w:val="0840D359"/>
    <w:rsid w:val="0DCBF5C5"/>
    <w:rsid w:val="0E119662"/>
    <w:rsid w:val="13C77F6F"/>
    <w:rsid w:val="14C39559"/>
    <w:rsid w:val="1DC7F86C"/>
    <w:rsid w:val="2DBFC446"/>
    <w:rsid w:val="2DD06890"/>
    <w:rsid w:val="32D1DDCF"/>
    <w:rsid w:val="40B4E00A"/>
    <w:rsid w:val="44786DD3"/>
    <w:rsid w:val="485FA9B2"/>
    <w:rsid w:val="5391BA9F"/>
    <w:rsid w:val="53B417FC"/>
    <w:rsid w:val="5BBF09D9"/>
    <w:rsid w:val="5F4CD0D1"/>
    <w:rsid w:val="68CD8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E351CA"/>
  <w15:chartTrackingRefBased/>
  <w15:docId w15:val="{C5C8651B-6DB6-4184-B849-2DA9435D6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FA5561"/>
  </w:style>
  <w:style w:type="paragraph" w:styleId="Heading1">
    <w:name w:val="heading 1"/>
    <w:basedOn w:val="Normal"/>
    <w:next w:val="Normal"/>
    <w:link w:val="Heading1Char"/>
    <w:uiPriority w:val="9"/>
    <w:qFormat/>
    <w:rsid w:val="00FA5561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5561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556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556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556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556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556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556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556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FA5561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FA5561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FA5561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FA5561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FA5561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FA5561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FA5561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FA5561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FA556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A5561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FA5561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556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FA556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5561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FA556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556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556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5561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FA556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5561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FA5561"/>
    <w:rPr>
      <w:color w:val="467886" w:themeColor="hyperlink"/>
      <w:u w:val="single"/>
    </w:rPr>
  </w:style>
  <w:style w:type="paragraph" w:styleId="Revision">
    <w:name w:val="Revision"/>
    <w:hidden/>
    <w:uiPriority w:val="99"/>
    <w:semiHidden/>
    <w:rsid w:val="001379FF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A671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Miranda Lui</dc:creator>
  <keywords/>
  <dc:description/>
  <lastModifiedBy>Miranda Lui (TRA)</lastModifiedBy>
  <revision>29</revision>
  <dcterms:created xsi:type="dcterms:W3CDTF">2025-08-15T09:49:00.0000000Z</dcterms:created>
  <dcterms:modified xsi:type="dcterms:W3CDTF">2025-10-30T03:03:32.4699277Z</dcterms:modified>
</coreProperties>
</file>